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510452</w:t>
      </w:r>
      <w:bookmarkEnd w:id="5"/>
      <w:r>
        <w:rPr>
          <w:rFonts w:hint="eastAsia" w:ascii="Arial" w:hAnsi="Arial" w:cs="Arial"/>
          <w:b/>
          <w:sz w:val="24"/>
          <w:szCs w:val="24"/>
        </w:rPr>
        <w:t xml:space="preserve">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Bengaluru, India, August 25th – 29th, 2025</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7</w:t>
      </w:r>
      <w:r>
        <w:rPr>
          <w:rFonts w:hint="eastAsia" w:ascii="Arial" w:hAnsi="Arial" w:cs="Arial"/>
          <w:b/>
          <w:strike w:val="0"/>
          <w:color w:val="auto"/>
          <w:sz w:val="24"/>
          <w:szCs w:val="24"/>
          <w:lang w:val="en-US" w:eastAsia="zh-CN"/>
        </w:rPr>
        <w:t>.14.4</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3"/>
      <w:bookmarkStart w:id="2" w:name="OLE_LINK14"/>
      <w:bookmarkStart w:id="3" w:name="OLE_LINK20"/>
      <w:bookmarkStart w:id="4" w:name="OLE_LINK10"/>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According the work item, valid early measurement report would be considered in the existing known/unknown SCell condition during SCell configuration/activation in Release 19, which could reduce delay requirement for the target SCell activation.</w:t>
      </w:r>
      <w:r>
        <w:rPr>
          <w:rFonts w:hint="eastAsia" w:eastAsia="宋体" w:cs="Times New Roman"/>
          <w:sz w:val="21"/>
          <w:szCs w:val="21"/>
          <w:highlight w:val="none"/>
          <w:lang w:val="en-US" w:eastAsia="zh-CN"/>
        </w:rPr>
        <w:t xml:space="preserve"> </w:t>
      </w:r>
      <w:r>
        <w:rPr>
          <w:rFonts w:hint="eastAsia" w:cs="Times New Roman"/>
          <w:sz w:val="21"/>
          <w:szCs w:val="21"/>
          <w:highlight w:val="none"/>
          <w:lang w:val="en-US" w:eastAsia="zh-CN"/>
        </w:rPr>
        <w:t>It</w:t>
      </w:r>
      <w:r>
        <w:rPr>
          <w:rFonts w:hint="default" w:cs="Times New Roman"/>
          <w:sz w:val="21"/>
          <w:szCs w:val="21"/>
          <w:highlight w:val="none"/>
          <w:lang w:val="en-US" w:eastAsia="zh-CN"/>
        </w:rPr>
        <w:t>’</w:t>
      </w:r>
      <w:r>
        <w:rPr>
          <w:rFonts w:hint="eastAsia" w:cs="Times New Roman"/>
          <w:sz w:val="21"/>
          <w:szCs w:val="21"/>
          <w:highlight w:val="none"/>
          <w:lang w:val="en-US" w:eastAsia="zh-CN"/>
        </w:rPr>
        <w:t>s a common understanding that is</w:t>
      </w:r>
      <w:r>
        <w:rPr>
          <w:rFonts w:hint="eastAsia" w:eastAsia="宋体" w:cs="Times New Roman"/>
          <w:sz w:val="21"/>
          <w:szCs w:val="21"/>
          <w:highlight w:val="none"/>
          <w:lang w:val="en-US" w:eastAsia="zh-CN"/>
        </w:rPr>
        <w:t xml:space="preserve">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 In previous meeting, we have discussed and reached consensus on how to use R18 EMR and capture the changes in specification. And there is a remaining issue on UE capability should be discussed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58" w:type="dxa"/>
          </w:tcPr>
          <w:p>
            <w:pPr>
              <w:pStyle w:val="6"/>
              <w:bidi w:val="0"/>
              <w:ind w:left="0" w:firstLine="0"/>
              <w:rPr>
                <w:lang w:val="en-US" w:eastAsia="ko-KR"/>
              </w:rPr>
            </w:pPr>
            <w:r>
              <w:rPr>
                <w:lang w:val="en-US" w:eastAsia="ko-KR"/>
              </w:rPr>
              <w:t>Issue 2-1-1: UE capability for EMR-based fast SCell activation</w:t>
            </w:r>
          </w:p>
          <w:p>
            <w:pPr>
              <w:snapToGrid w:val="0"/>
              <w:spacing w:after="120"/>
              <w:rPr>
                <w:rFonts w:eastAsia="宋体"/>
                <w:sz w:val="21"/>
                <w:szCs w:val="21"/>
                <w:highlight w:val="yellow"/>
              </w:rPr>
            </w:pPr>
            <w:r>
              <w:rPr>
                <w:rFonts w:eastAsia="宋体"/>
                <w:sz w:val="21"/>
                <w:szCs w:val="21"/>
                <w:highlight w:val="yellow"/>
              </w:rPr>
              <w:t>FFS:</w:t>
            </w:r>
          </w:p>
          <w:p>
            <w:pPr>
              <w:pStyle w:val="34"/>
              <w:numPr>
                <w:ilvl w:val="0"/>
                <w:numId w:val="5"/>
              </w:numPr>
              <w:overflowPunct/>
              <w:autoSpaceDE/>
              <w:autoSpaceDN/>
              <w:adjustRightInd/>
              <w:snapToGrid w:val="0"/>
              <w:spacing w:after="120"/>
              <w:ind w:left="360" w:firstLineChars="0"/>
              <w:textAlignment w:val="auto"/>
              <w:rPr>
                <w:rFonts w:eastAsia="宋体"/>
                <w:sz w:val="21"/>
                <w:szCs w:val="21"/>
              </w:rPr>
            </w:pPr>
            <w:r>
              <w:rPr>
                <w:rFonts w:eastAsia="宋体"/>
                <w:sz w:val="21"/>
                <w:szCs w:val="21"/>
              </w:rPr>
              <w:t xml:space="preserve">Option 1: Introduce a UE capability for R19 SCell activation based on EMR </w:t>
            </w:r>
          </w:p>
          <w:p>
            <w:pPr>
              <w:pStyle w:val="34"/>
              <w:numPr>
                <w:ilvl w:val="1"/>
                <w:numId w:val="5"/>
              </w:numPr>
              <w:overflowPunct/>
              <w:autoSpaceDE/>
              <w:autoSpaceDN/>
              <w:adjustRightInd/>
              <w:snapToGrid w:val="0"/>
              <w:spacing w:after="120"/>
              <w:ind w:left="1080" w:firstLineChars="0"/>
              <w:textAlignment w:val="auto"/>
              <w:rPr>
                <w:rFonts w:eastAsia="宋体"/>
                <w:sz w:val="21"/>
                <w:szCs w:val="21"/>
              </w:rPr>
            </w:pPr>
            <w:r>
              <w:rPr>
                <w:bCs/>
                <w:iCs/>
                <w:sz w:val="21"/>
                <w:szCs w:val="21"/>
              </w:rPr>
              <w:t>Prerequisite feature groups</w:t>
            </w:r>
            <w:r>
              <w:rPr>
                <w:rFonts w:eastAsia="Yu Mincho"/>
                <w:bCs/>
                <w:iCs/>
                <w:sz w:val="21"/>
                <w:szCs w:val="21"/>
              </w:rPr>
              <w:t>:</w:t>
            </w:r>
            <w:r>
              <w:rPr>
                <w:bCs/>
                <w:iCs/>
                <w:sz w:val="21"/>
                <w:szCs w:val="21"/>
              </w:rPr>
              <w:t xml:space="preserve"> </w:t>
            </w:r>
            <w:r>
              <w:rPr>
                <w:rFonts w:eastAsia="Yu Mincho"/>
                <w:bCs/>
                <w:iCs/>
                <w:sz w:val="21"/>
                <w:szCs w:val="21"/>
              </w:rPr>
              <w:t>39-8 or 39-9 in R18 RAN4 feature list</w:t>
            </w:r>
          </w:p>
          <w:p>
            <w:pPr>
              <w:pStyle w:val="34"/>
              <w:numPr>
                <w:ilvl w:val="1"/>
                <w:numId w:val="5"/>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Need for the gNB to know if the feature is supported: No</w:t>
            </w:r>
          </w:p>
          <w:p>
            <w:pPr>
              <w:pStyle w:val="34"/>
              <w:numPr>
                <w:ilvl w:val="1"/>
                <w:numId w:val="5"/>
              </w:numPr>
              <w:overflowPunct/>
              <w:autoSpaceDE/>
              <w:autoSpaceDN/>
              <w:adjustRightInd/>
              <w:snapToGrid w:val="0"/>
              <w:spacing w:after="120"/>
              <w:ind w:left="1080" w:firstLineChars="0"/>
              <w:textAlignment w:val="auto"/>
              <w:rPr>
                <w:rFonts w:eastAsia="宋体"/>
                <w:sz w:val="21"/>
                <w:szCs w:val="21"/>
              </w:rPr>
            </w:pPr>
            <w:r>
              <w:rPr>
                <w:bCs/>
                <w:iCs/>
                <w:sz w:val="21"/>
                <w:szCs w:val="21"/>
              </w:rPr>
              <w:t>Granularity: Per</w:t>
            </w:r>
            <w:r>
              <w:rPr>
                <w:rFonts w:eastAsia="宋体"/>
                <w:sz w:val="21"/>
                <w:szCs w:val="21"/>
              </w:rPr>
              <w:t>-UE</w:t>
            </w:r>
          </w:p>
          <w:p>
            <w:pPr>
              <w:pStyle w:val="34"/>
              <w:numPr>
                <w:ilvl w:val="1"/>
                <w:numId w:val="5"/>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FDD/TDD differentiation: No</w:t>
            </w:r>
          </w:p>
          <w:p>
            <w:pPr>
              <w:pStyle w:val="34"/>
              <w:numPr>
                <w:ilvl w:val="1"/>
                <w:numId w:val="5"/>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FR1/FR2 differentiation: Yes</w:t>
            </w:r>
          </w:p>
          <w:p>
            <w:pPr>
              <w:pStyle w:val="34"/>
              <w:numPr>
                <w:ilvl w:val="0"/>
                <w:numId w:val="5"/>
              </w:numPr>
              <w:overflowPunct/>
              <w:autoSpaceDE/>
              <w:autoSpaceDN/>
              <w:adjustRightInd/>
              <w:snapToGrid w:val="0"/>
              <w:spacing w:after="120"/>
              <w:ind w:left="360" w:firstLineChars="0"/>
              <w:textAlignment w:val="auto"/>
              <w:rPr>
                <w:rFonts w:eastAsia="宋体"/>
                <w:sz w:val="21"/>
                <w:szCs w:val="21"/>
              </w:rPr>
            </w:pPr>
            <w:r>
              <w:rPr>
                <w:rFonts w:eastAsia="宋体"/>
                <w:sz w:val="21"/>
                <w:szCs w:val="21"/>
              </w:rPr>
              <w:t xml:space="preserve">Option 2: Not to introduce additional UE capability </w:t>
            </w:r>
          </w:p>
          <w:p>
            <w:pPr>
              <w:pStyle w:val="4"/>
              <w:spacing w:before="0" w:beforeLines="0" w:after="0"/>
              <w:ind w:left="0" w:leftChars="0" w:firstLineChars="0"/>
              <w:rPr>
                <w:rFonts w:hint="default" w:ascii="Times New Roman" w:hAnsi="Times New Roman" w:cs="Times New Roman"/>
                <w:b w:val="0"/>
                <w:bCs/>
                <w:color w:val="auto"/>
                <w:sz w:val="21"/>
                <w:szCs w:val="21"/>
              </w:rPr>
            </w:pPr>
          </w:p>
        </w:tc>
      </w:tr>
    </w:tbl>
    <w:p>
      <w:pPr>
        <w:spacing w:after="157" w:afterLines="50"/>
        <w:rPr>
          <w:rFonts w:hint="default" w:eastAsia="宋体"/>
          <w:szCs w:val="21"/>
          <w:lang w:val="en-US" w:eastAsia="zh-CN"/>
        </w:rPr>
      </w:pPr>
      <w:r>
        <w:rPr>
          <w:rFonts w:hint="eastAsia" w:eastAsia="宋体"/>
          <w:szCs w:val="24"/>
          <w:lang w:val="en-US" w:eastAsia="zh-CN"/>
        </w:rPr>
        <w:t xml:space="preserve">In R18 </w:t>
      </w:r>
      <w:r>
        <w:rPr>
          <w:rFonts w:hint="eastAsia"/>
          <w:szCs w:val="24"/>
          <w:lang w:val="en-US" w:eastAsia="zh-CN"/>
        </w:rPr>
        <w:t>e</w:t>
      </w:r>
      <w:r>
        <w:rPr>
          <w:rFonts w:hint="eastAsia" w:eastAsia="宋体"/>
          <w:szCs w:val="24"/>
          <w:lang w:val="en-US" w:eastAsia="zh-CN"/>
        </w:rPr>
        <w:t>EMR, we discussed</w:t>
      </w:r>
      <w:r>
        <w:rPr>
          <w:rFonts w:hint="eastAsia"/>
          <w:szCs w:val="24"/>
          <w:lang w:val="en-US" w:eastAsia="zh-CN"/>
        </w:rPr>
        <w:t xml:space="preserve"> </w:t>
      </w:r>
      <w:r>
        <w:rPr>
          <w:rFonts w:ascii="Times New Roman" w:hAnsi="Times New Roman" w:eastAsia="PMingLiU" w:cs="Times New Roman"/>
          <w:sz w:val="21"/>
          <w:szCs w:val="21"/>
          <w:highlight w:val="none"/>
          <w:lang w:val="en-GB" w:eastAsia="en-GB"/>
        </w:rPr>
        <w:t>how to reuse the IDLE/INACTIVE mode measurement results which to be reported during RRC connection setup/resume in order to improve SCell/SCG setup delay</w:t>
      </w:r>
      <w:r>
        <w:rPr>
          <w:rFonts w:hint="eastAsia" w:eastAsia="宋体" w:cs="Times New Roman"/>
          <w:sz w:val="21"/>
          <w:szCs w:val="21"/>
          <w:highlight w:val="none"/>
          <w:lang w:val="en-US" w:eastAsia="zh-CN"/>
        </w:rPr>
        <w:t>.</w:t>
      </w:r>
      <w:r>
        <w:rPr>
          <w:rFonts w:hint="eastAsia" w:eastAsia="宋体"/>
          <w:szCs w:val="21"/>
          <w:lang w:val="en-US" w:eastAsia="zh-CN"/>
        </w:rPr>
        <w:t xml:space="preserve"> </w:t>
      </w:r>
      <w:r>
        <w:rPr>
          <w:rFonts w:hint="eastAsia"/>
          <w:szCs w:val="21"/>
          <w:lang w:val="en-US" w:eastAsia="zh-CN"/>
        </w:rPr>
        <w:t xml:space="preserve">As the result, EMR and cell reselection measurement are considered, and two UE capabilities </w:t>
      </w:r>
      <w:r>
        <w:rPr>
          <w:rFonts w:hint="eastAsia"/>
          <w:i/>
          <w:iCs/>
          <w:szCs w:val="21"/>
          <w:lang w:val="en-US" w:eastAsia="zh-CN"/>
        </w:rPr>
        <w:t>measValidationReportEMR-r18</w:t>
      </w:r>
      <w:r>
        <w:rPr>
          <w:rFonts w:hint="eastAsia"/>
          <w:szCs w:val="21"/>
          <w:lang w:val="en-US" w:eastAsia="zh-CN"/>
        </w:rPr>
        <w:t xml:space="preserve"> and </w:t>
      </w:r>
      <w:r>
        <w:rPr>
          <w:rFonts w:hint="eastAsia"/>
          <w:i/>
          <w:iCs/>
          <w:szCs w:val="21"/>
          <w:lang w:val="en-US" w:eastAsia="zh-CN"/>
        </w:rPr>
        <w:t>measValidationReportReselectionMeasurements-r18</w:t>
      </w:r>
      <w:r>
        <w:rPr>
          <w:rFonts w:hint="eastAsia"/>
          <w:szCs w:val="21"/>
          <w:lang w:val="en-US" w:eastAsia="zh-CN"/>
        </w:rPr>
        <w:t xml:space="preserve"> are introduced. Besides, R16 EMR is supported by </w:t>
      </w:r>
      <w:r>
        <w:rPr>
          <w:rFonts w:hint="eastAsia" w:ascii="Times New Roman" w:hAnsi="Times New Roman"/>
          <w:sz w:val="21"/>
          <w:szCs w:val="21"/>
          <w:lang w:val="en-US" w:eastAsia="zh-CN"/>
        </w:rPr>
        <w:t>UE capability</w:t>
      </w:r>
      <w:r>
        <w:rPr>
          <w:rFonts w:hint="default" w:ascii="Times New Roman" w:hAnsi="Times New Roman" w:cs="Times New Roman"/>
          <w:sz w:val="21"/>
          <w:szCs w:val="21"/>
          <w:lang w:val="en-US" w:eastAsia="zh-CN"/>
        </w:rPr>
        <w:t xml:space="preserve"> </w:t>
      </w:r>
      <w:r>
        <w:rPr>
          <w:rFonts w:hint="default" w:ascii="Times New Roman" w:hAnsi="Times New Roman" w:cs="Times New Roman"/>
          <w:bCs/>
          <w:i/>
          <w:sz w:val="21"/>
          <w:szCs w:val="21"/>
        </w:rPr>
        <w:t>idleInactiveNR-MeasReport-r16</w:t>
      </w:r>
      <w:r>
        <w:rPr>
          <w:rFonts w:hint="default" w:ascii="Times New Roman" w:hAnsi="Times New Roman" w:cs="Times New Roman"/>
          <w:bCs/>
          <w:iCs/>
          <w:sz w:val="21"/>
          <w:szCs w:val="21"/>
        </w:rPr>
        <w:t xml:space="preserve"> or </w:t>
      </w:r>
      <w:r>
        <w:rPr>
          <w:rFonts w:hint="default" w:ascii="Times New Roman" w:hAnsi="Times New Roman" w:cs="Times New Roman"/>
          <w:bCs/>
          <w:i/>
          <w:sz w:val="21"/>
          <w:szCs w:val="21"/>
        </w:rPr>
        <w:t>idleInactiveEUTRA-MeasReport-r16</w:t>
      </w:r>
      <w:r>
        <w:rPr>
          <w:rFonts w:hint="eastAsia" w:cs="Times New Roman"/>
          <w:bCs/>
          <w:i/>
          <w:sz w:val="21"/>
          <w:szCs w:val="21"/>
          <w:lang w:val="en-US" w:eastAsia="zh-CN"/>
        </w:rPr>
        <w:t>.</w:t>
      </w:r>
    </w:p>
    <w:p>
      <w:pPr>
        <w:tabs>
          <w:tab w:val="left" w:pos="1134"/>
        </w:tabs>
        <w:spacing w:after="180" w:line="240" w:lineRule="exact"/>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According to the discussion about applicability, fast SCell activation delay requirements apply to following cases:</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numPr>
          <w:ilvl w:val="-1"/>
          <w:numId w:val="0"/>
        </w:numPr>
        <w:spacing w:after="157" w:afterLines="50"/>
        <w:ind w:left="0" w:firstLine="0"/>
        <w:jc w:val="left"/>
        <w:rPr>
          <w:rFonts w:hint="eastAsia" w:cs="Times New Roman"/>
          <w:kern w:val="2"/>
          <w:sz w:val="21"/>
          <w:szCs w:val="24"/>
          <w:lang w:val="en-US" w:eastAsia="zh-CN" w:bidi="ar-SA"/>
        </w:rPr>
      </w:pPr>
      <w:r>
        <w:rPr>
          <w:rFonts w:hint="eastAsia" w:cs="Times New Roman"/>
          <w:kern w:val="2"/>
          <w:sz w:val="21"/>
          <w:szCs w:val="24"/>
          <w:lang w:val="en-US" w:eastAsia="zh-CN" w:bidi="ar-SA"/>
        </w:rPr>
        <w:t xml:space="preserve">Comparing the UE capability introduced in Release 18 with the capabilities required by Release 19, we find that the existing UE features (including R16 and R18) can meet all the requirements defined in Release 19 for fast SCell activation for UE supporting Rel-18 EMR. In our understanding, there is no need to discuss UE capability for fast SCell activation with Rel-18 eEMR report because existing UE capabilities are enough. </w:t>
      </w:r>
    </w:p>
    <w:p>
      <w:pPr>
        <w:numPr>
          <w:ilvl w:val="-1"/>
          <w:numId w:val="0"/>
        </w:numPr>
        <w:spacing w:after="0" w:afterLines="-2147483648"/>
        <w:ind w:left="0" w:firstLine="0"/>
        <w:jc w:val="left"/>
        <w:rPr>
          <w:rFonts w:hint="default" w:ascii="Times New Roman" w:hAnsi="Times New Roman"/>
          <w:b w:val="0"/>
          <w:bCs w:val="0"/>
          <w:i w:val="0"/>
          <w:iCs w:val="0"/>
          <w:sz w:val="20"/>
          <w:szCs w:val="20"/>
          <w:lang w:val="en-US" w:eastAsia="zh-CN"/>
        </w:rPr>
      </w:pPr>
      <w:r>
        <w:rPr>
          <w:rFonts w:hint="eastAsia" w:cs="Times New Roman"/>
          <w:kern w:val="2"/>
          <w:sz w:val="21"/>
          <w:szCs w:val="24"/>
          <w:lang w:val="en-US" w:eastAsia="zh-CN" w:bidi="ar-SA"/>
        </w:rPr>
        <w:t xml:space="preserve">However, in the last meeting, some company proposed option1 and showed the view from UE prespective. If the capability of R19 is not introduced, the UE may not be able to distinguish between the requirements of R18 and R19, and there may be situations where the R18 UE cannot complete the R19 requirements or the R19 UE only completes the R18 requirements. Based on this, UE capability is introduced and it is only to indicate that the UE is an R18 or R19 UE to avoid mismatches. I am curious if there may be confusion between UE release and requirement release. Can UE not determine which release it belongs to based on other existing information? </w:t>
      </w:r>
      <w:r>
        <w:rPr>
          <w:rFonts w:hint="default" w:ascii="Times New Roman" w:hAnsi="Times New Roman"/>
          <w:b w:val="0"/>
          <w:bCs w:val="0"/>
          <w:i w:val="0"/>
          <w:iCs w:val="0"/>
          <w:sz w:val="20"/>
          <w:szCs w:val="20"/>
          <w:lang w:val="en-US" w:eastAsia="zh-CN"/>
        </w:rPr>
        <w:t xml:space="preserve">If it is not possible to distinguish whether the UE belongs to R18 or R19 based on existing information, a compromise can be made to introduce </w:t>
      </w:r>
      <w:r>
        <w:rPr>
          <w:rFonts w:hint="eastAsia"/>
          <w:b w:val="0"/>
          <w:bCs w:val="0"/>
          <w:i w:val="0"/>
          <w:iCs w:val="0"/>
          <w:sz w:val="20"/>
          <w:szCs w:val="20"/>
          <w:lang w:val="en-US" w:eastAsia="zh-CN"/>
        </w:rPr>
        <w:t>the</w:t>
      </w:r>
      <w:r>
        <w:rPr>
          <w:rFonts w:hint="default" w:ascii="Times New Roman" w:hAnsi="Times New Roman"/>
          <w:b w:val="0"/>
          <w:bCs w:val="0"/>
          <w:i w:val="0"/>
          <w:iCs w:val="0"/>
          <w:sz w:val="20"/>
          <w:szCs w:val="20"/>
          <w:lang w:val="en-US" w:eastAsia="zh-CN"/>
        </w:rPr>
        <w:t xml:space="preserve"> UE capability to indicate.</w:t>
      </w:r>
    </w:p>
    <w:p>
      <w:pPr>
        <w:numPr>
          <w:ilvl w:val="-1"/>
          <w:numId w:val="0"/>
        </w:numPr>
        <w:spacing w:after="0" w:afterLines="-2147483648"/>
        <w:ind w:left="0" w:firstLine="0"/>
        <w:jc w:val="left"/>
        <w:rPr>
          <w:rFonts w:hint="default" w:ascii="Times New Roman" w:hAnsi="Times New Roman"/>
          <w:b w:val="0"/>
          <w:bCs w:val="0"/>
          <w:i w:val="0"/>
          <w:iCs w:val="0"/>
          <w:sz w:val="20"/>
          <w:szCs w:val="20"/>
          <w:lang w:val="en-US" w:eastAsia="zh-CN"/>
        </w:rPr>
      </w:pPr>
    </w:p>
    <w:p>
      <w:pPr>
        <w:tabs>
          <w:tab w:val="left" w:pos="1134"/>
        </w:tabs>
        <w:spacing w:after="180" w:afterLines="-2147483648" w:line="240" w:lineRule="exact"/>
        <w:rPr>
          <w:rFonts w:hint="eastAsia" w:ascii="Times New Roman" w:hAnsi="Times New Roman"/>
          <w:b/>
          <w:bCs/>
          <w:i/>
          <w:iCs/>
          <w:sz w:val="20"/>
          <w:szCs w:val="20"/>
          <w:lang w:val="en-US" w:eastAsia="zh-CN"/>
        </w:rPr>
      </w:pPr>
      <w:commentRangeStart w:id="0"/>
      <w:r>
        <w:rPr>
          <w:rFonts w:hint="eastAsia" w:ascii="Times New Roman" w:hAnsi="Times New Roman"/>
          <w:b/>
          <w:bCs/>
          <w:i/>
          <w:iCs/>
          <w:sz w:val="20"/>
          <w:szCs w:val="20"/>
          <w:lang w:val="en-US" w:eastAsia="zh-CN"/>
        </w:rPr>
        <w:t>Proposal 1</w:t>
      </w:r>
      <w:commentRangeEnd w:id="0"/>
      <w:r>
        <w:commentReference w:id="0"/>
      </w:r>
      <w:r>
        <w:rPr>
          <w:rFonts w:hint="eastAsia" w:ascii="Times New Roman" w:hAnsi="Times New Roman"/>
          <w:b/>
          <w:bCs/>
          <w:i/>
          <w:iCs/>
          <w:sz w:val="20"/>
          <w:szCs w:val="20"/>
          <w:lang w:val="en-US" w:eastAsia="zh-CN"/>
        </w:rPr>
        <w:t xml:space="preserve">: </w:t>
      </w:r>
      <w:r>
        <w:rPr>
          <w:rFonts w:hint="eastAsia"/>
          <w:b/>
          <w:bCs/>
          <w:i/>
          <w:iCs/>
          <w:sz w:val="20"/>
          <w:szCs w:val="20"/>
          <w:lang w:val="en-US" w:eastAsia="zh-CN"/>
        </w:rPr>
        <w:t xml:space="preserve">Prefer not </w:t>
      </w:r>
      <w:r>
        <w:rPr>
          <w:rFonts w:hint="eastAsia" w:ascii="Times New Roman" w:hAnsi="Times New Roman"/>
          <w:b/>
          <w:bCs/>
          <w:i/>
          <w:iCs/>
          <w:sz w:val="20"/>
          <w:szCs w:val="20"/>
          <w:lang w:val="en-US" w:eastAsia="zh-CN"/>
        </w:rPr>
        <w:t>to introduce additional UE capability for fast SCell activation with Rel-18 eEMR report.</w:t>
      </w:r>
    </w:p>
    <w:p>
      <w:pPr>
        <w:numPr>
          <w:ilvl w:val="-1"/>
          <w:numId w:val="0"/>
        </w:numPr>
        <w:tabs>
          <w:tab w:val="left" w:pos="1134"/>
        </w:tabs>
        <w:spacing w:after="180" w:afterLines="-2147483648" w:line="240" w:lineRule="exact"/>
        <w:ind w:left="0" w:firstLine="0"/>
        <w:jc w:val="left"/>
        <w:rPr>
          <w:rFonts w:hint="default" w:cs="Times New Roman"/>
          <w:kern w:val="2"/>
          <w:sz w:val="21"/>
          <w:szCs w:val="24"/>
          <w:lang w:val="en-US" w:eastAsia="zh-CN" w:bidi="ar-SA"/>
        </w:rPr>
      </w:pP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tabs>
          <w:tab w:val="left" w:pos="1134"/>
        </w:tabs>
        <w:spacing w:after="180" w:afterLines="-2147483648"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 xml:space="preserve">Prefer not </w:t>
      </w:r>
      <w:r>
        <w:rPr>
          <w:rFonts w:hint="eastAsia" w:ascii="Times New Roman" w:hAnsi="Times New Roman"/>
          <w:b/>
          <w:bCs/>
          <w:i/>
          <w:iCs/>
          <w:sz w:val="20"/>
          <w:szCs w:val="20"/>
          <w:lang w:val="en-US" w:eastAsia="zh-CN"/>
        </w:rPr>
        <w:t>to introduce additional UE capability for fast SCell activation with Rel-18 eEMR report.</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508266,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5"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5-08-07T11:05:42Z" w:initials="0">
    <w:p w14:paraId="440F6776">
      <w:pPr>
        <w:pStyle w:val="13"/>
        <w:rPr>
          <w:rFonts w:hint="default" w:eastAsia="宋体"/>
          <w:lang w:val="en-US" w:eastAsia="zh-CN"/>
        </w:rPr>
      </w:pPr>
      <w:r>
        <w:rPr>
          <w:rFonts w:hint="eastAsia"/>
          <w:lang w:val="en-US" w:eastAsia="zh-CN"/>
        </w:rPr>
        <w:t>不确定的情况下这一部分可以改为observation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0F67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909F7"/>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E6962"/>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EF7C67"/>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0E57F5"/>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424DF"/>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095A"/>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960B7"/>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EF15F2"/>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00592"/>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24A73"/>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75F36"/>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C6C08"/>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0B7773"/>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7F1C14"/>
    <w:rsid w:val="5A8F76C1"/>
    <w:rsid w:val="5A9A0A66"/>
    <w:rsid w:val="5AA541CF"/>
    <w:rsid w:val="5AAF48E4"/>
    <w:rsid w:val="5AB96041"/>
    <w:rsid w:val="5ABC4831"/>
    <w:rsid w:val="5ABC6BFA"/>
    <w:rsid w:val="5ABE26ED"/>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B7363"/>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920D3"/>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CA5B51"/>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72579"/>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62E20"/>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01157"/>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44DCC"/>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2025-08-15T08:36:13Z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4240563FFB944BF2BF746171C901A288</vt:lpwstr>
  </property>
</Properties>
</file>